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D381" w14:textId="77777777" w:rsidR="00A258B6" w:rsidRPr="00A258B6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A258B6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             </w:t>
      </w:r>
    </w:p>
    <w:p w14:paraId="6EBDDADF" w14:textId="77777777" w:rsidR="00A258B6" w:rsidRPr="00A258B6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258B6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             </w:t>
      </w:r>
      <w:r w:rsidRPr="00A258B6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126BA901" wp14:editId="50EB0534">
            <wp:extent cx="447675" cy="600075"/>
            <wp:effectExtent l="0" t="0" r="9525" b="9525"/>
            <wp:docPr id="82576384" name="Slika 1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8325" w14:textId="77777777" w:rsidR="00A258B6" w:rsidRPr="00A258B6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A258B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REPUBLIKA HRVATSKA</w:t>
      </w:r>
    </w:p>
    <w:p w14:paraId="1DEDC5BC" w14:textId="77777777" w:rsidR="00A258B6" w:rsidRPr="00A258B6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A258B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ISTARSKA ŽUPANIJA</w:t>
      </w:r>
    </w:p>
    <w:p w14:paraId="45C785FA" w14:textId="77777777" w:rsidR="00A258B6" w:rsidRPr="00A258B6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A258B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OPĆINA TINJAN</w:t>
      </w:r>
    </w:p>
    <w:p w14:paraId="3A11A073" w14:textId="77777777" w:rsidR="00EE7FA3" w:rsidRDefault="00EE7FA3"/>
    <w:p w14:paraId="76BC574A" w14:textId="4239AF94" w:rsidR="00A258B6" w:rsidRDefault="00A258B6">
      <w:r>
        <w:t>KLASA:610-03/26-01/01</w:t>
      </w:r>
    </w:p>
    <w:p w14:paraId="1A45108A" w14:textId="7C20E1CC" w:rsidR="00A258B6" w:rsidRDefault="00A258B6">
      <w:r>
        <w:t>URBROJ:2163-37-01/01-26-3</w:t>
      </w:r>
    </w:p>
    <w:p w14:paraId="139EE8DE" w14:textId="35DCFE34" w:rsidR="00A258B6" w:rsidRDefault="00A258B6" w:rsidP="00A258B6">
      <w:pPr>
        <w:jc w:val="center"/>
      </w:pPr>
      <w:r>
        <w:t>Javni poziv za korištenje javnih površina na manifestaciji FIP 2026.</w:t>
      </w:r>
    </w:p>
    <w:p w14:paraId="66E4A30B" w14:textId="77777777" w:rsidR="00EE7FA3" w:rsidRDefault="00EE7FA3" w:rsidP="00A258B6">
      <w:pPr>
        <w:jc w:val="center"/>
      </w:pPr>
    </w:p>
    <w:p w14:paraId="6CA331A4" w14:textId="0CB44D48" w:rsidR="00AE3C14" w:rsidRDefault="00AE3C14" w:rsidP="00AE3C14">
      <w:r>
        <w:t>Općina Tinjan i ove godine organizira Ljetni festival istarskog pršuta (FIP), koji će se održati 1</w:t>
      </w:r>
      <w:r w:rsidR="00A258B6">
        <w:t>0</w:t>
      </w:r>
      <w:r>
        <w:t>. i 1</w:t>
      </w:r>
      <w:r w:rsidR="00A258B6">
        <w:t>1</w:t>
      </w:r>
      <w:r>
        <w:t>. srpnja 202</w:t>
      </w:r>
      <w:r w:rsidR="00A258B6">
        <w:t>6</w:t>
      </w:r>
      <w:r>
        <w:t>. godine u Tinjanu.</w:t>
      </w:r>
      <w:r w:rsidR="00EE7FA3">
        <w:t xml:space="preserve"> </w:t>
      </w:r>
      <w:r>
        <w:t>Pozivamo sve zainteresirane izlagače – proizvođače domaćih proizvoda, obrtnike, umjetnike, kreativce i sve koji žele predstaviti svoj rad – da se prijave za sudjelovanje na festivalu. Ljetni FIP odlična je prilika za promociju, izravnu prodaju i susret s brojnim posjetiteljima u opuštenoj i veseloj atmosferi našeg ljetnog sajma.</w:t>
      </w:r>
    </w:p>
    <w:p w14:paraId="5E4E544E" w14:textId="01AEC93C" w:rsidR="00AE3C14" w:rsidRDefault="00AE3C14" w:rsidP="00AE3C14">
      <w:r>
        <w:t>Organizator osigurava osnovnu infrastrukturu za izlagače</w:t>
      </w:r>
      <w:r w:rsidR="00A258B6">
        <w:t xml:space="preserve"> koja uključuje javnu površinu, stol dužine 2 metra i priključak električne energije</w:t>
      </w:r>
      <w:r>
        <w:t>, a prijavom sudjelujete u bogatom programu koji će ponovno oživjeti Tinjan kroz dva dana druženja, okusa, glazbe i tradicije.</w:t>
      </w:r>
    </w:p>
    <w:p w14:paraId="4C93CD5B" w14:textId="76D47DCC" w:rsidR="00AE3C14" w:rsidRDefault="00AE3C14" w:rsidP="00AE3C14">
      <w:r>
        <w:t>Svi zainteresirani mogu preuzeti prijavnicu u privitku ove objave, a ispunjeni obrazac potrebno je poslati e-mailom: emanuel.bilic@tinjan.hr ili predati osobno u pisarnicu Općine Tinjan na adresi Tinjan 2, Tinjan. Prijave se zaprimaju zaključno do 0</w:t>
      </w:r>
      <w:r w:rsidR="00A258B6">
        <w:t>3</w:t>
      </w:r>
      <w:r>
        <w:t>. srpnja 202</w:t>
      </w:r>
      <w:r w:rsidR="00A258B6">
        <w:t>6</w:t>
      </w:r>
      <w:r>
        <w:t>. godine.</w:t>
      </w:r>
      <w:r w:rsidR="00A258B6">
        <w:t xml:space="preserve"> </w:t>
      </w:r>
    </w:p>
    <w:p w14:paraId="13060213" w14:textId="77777777" w:rsidR="00EE7FA3" w:rsidRDefault="00EE7FA3" w:rsidP="00EE7FA3">
      <w:r>
        <w:t>Naknadu za korištenje javne površine korisnik je dužan uplatiti na žiro račun Općine Tinjan otvoren kod: Zagrebačke banke d.d IBAN HR4023600001845300005 model 68 poziv na broj 1740 - OIB s time da iznos bude doznačen na gore navedeni račun najkasnije na dan 06. srpnja 2026. Ukoliko naknada ne bude uplaćena u navedenom roku, korisniku se neće odobriti korištenje javne površine.  U opisu plaćanja navesti „Naknada za korištenje javne površine FIP 2026“.</w:t>
      </w:r>
    </w:p>
    <w:p w14:paraId="688A55E3" w14:textId="77777777" w:rsidR="00EE7FA3" w:rsidRDefault="00EE7FA3" w:rsidP="00EE7FA3">
      <w:r>
        <w:t>Napomena:</w:t>
      </w:r>
    </w:p>
    <w:p w14:paraId="1E0DCE24" w14:textId="77777777" w:rsidR="00EE7FA3" w:rsidRDefault="00EE7FA3" w:rsidP="00EE7FA3">
      <w:r>
        <w:t>Općina Tinjan osigurava javnu površinu, stol dužine 2 metra (za stavke cjenika 1 i 2 ) i priključak struje.</w:t>
      </w:r>
    </w:p>
    <w:p w14:paraId="12AA0B68" w14:textId="77777777" w:rsidR="00EE7FA3" w:rsidRDefault="00EE7FA3" w:rsidP="00EE7FA3">
      <w:r>
        <w:t>Neposrednu prodaju roba izlagači su dužni obavljati u skladu s važećim propisima Republike Hrvatske.</w:t>
      </w:r>
    </w:p>
    <w:p w14:paraId="32AC7271" w14:textId="6C4FC871" w:rsidR="00EE7FA3" w:rsidRDefault="00EE7FA3" w:rsidP="00EE7FA3">
      <w:r>
        <w:t>Uvjeti sudjelovanja na sajmu su:</w:t>
      </w:r>
    </w:p>
    <w:p w14:paraId="1CAF17B1" w14:textId="77777777" w:rsidR="00EE7FA3" w:rsidRDefault="00EE7FA3" w:rsidP="00EE7FA3">
      <w:r>
        <w:t>1.</w:t>
      </w:r>
      <w:r>
        <w:tab/>
        <w:t>Podmireno dugovanje prema Općini Tinjan,</w:t>
      </w:r>
    </w:p>
    <w:p w14:paraId="1468F517" w14:textId="042CB573" w:rsidR="00EE7FA3" w:rsidRDefault="00EE7FA3" w:rsidP="00EE7FA3">
      <w:r>
        <w:t>2.</w:t>
      </w:r>
      <w:r>
        <w:tab/>
        <w:t>Obavezna prisutnost na sajmu dva dana uz dolazak na lokaciju radi pripreme štanda najmanje 1 sat prije održavanja manifestacije</w:t>
      </w:r>
    </w:p>
    <w:p w14:paraId="2E5E804A" w14:textId="77777777" w:rsidR="00EE7FA3" w:rsidRDefault="00EE7FA3" w:rsidP="00EE7FA3"/>
    <w:p w14:paraId="2D77F785" w14:textId="77777777" w:rsidR="00EE7FA3" w:rsidRDefault="00EE7FA3" w:rsidP="00EE7FA3"/>
    <w:p w14:paraId="7E132AC6" w14:textId="77777777" w:rsidR="00A258B6" w:rsidRDefault="00A258B6" w:rsidP="00AE3C14"/>
    <w:p w14:paraId="37B05541" w14:textId="77777777" w:rsidR="00EE7FA3" w:rsidRPr="00DC2F6D" w:rsidRDefault="00EE7FA3" w:rsidP="00EE7FA3">
      <w:pPr>
        <w:ind w:left="2358" w:firstLine="474"/>
        <w:rPr>
          <w:rFonts w:ascii="Times New Roman" w:hAnsi="Times New Roman" w:cs="Times New Roman"/>
          <w:b/>
        </w:rPr>
      </w:pPr>
      <w:r w:rsidRPr="00DC2F6D">
        <w:rPr>
          <w:rFonts w:ascii="Times New Roman" w:hAnsi="Times New Roman" w:cs="Times New Roman"/>
          <w:b/>
          <w:spacing w:val="-2"/>
        </w:rPr>
        <w:lastRenderedPageBreak/>
        <w:t>CJENIK</w:t>
      </w:r>
    </w:p>
    <w:p w14:paraId="02C37EC0" w14:textId="77777777" w:rsidR="00EE7FA3" w:rsidRPr="00DC2F6D" w:rsidRDefault="00EE7FA3" w:rsidP="00EE7FA3">
      <w:pPr>
        <w:pStyle w:val="Tijeloteksta"/>
        <w:spacing w:before="7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668"/>
        <w:gridCol w:w="2573"/>
      </w:tblGrid>
      <w:tr w:rsidR="00EE7FA3" w:rsidRPr="00DC2F6D" w14:paraId="601974B1" w14:textId="77777777" w:rsidTr="00EE7FA3">
        <w:trPr>
          <w:trHeight w:val="328"/>
        </w:trPr>
        <w:tc>
          <w:tcPr>
            <w:tcW w:w="914" w:type="dxa"/>
          </w:tcPr>
          <w:p w14:paraId="20E240F4" w14:textId="77777777" w:rsidR="00EE7FA3" w:rsidRPr="00DC2F6D" w:rsidRDefault="00EE7FA3" w:rsidP="00EE7FA3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 w:rsidRPr="00DC2F6D">
              <w:rPr>
                <w:b/>
                <w:spacing w:val="-2"/>
              </w:rPr>
              <w:t>R.br.</w:t>
            </w:r>
          </w:p>
        </w:tc>
        <w:tc>
          <w:tcPr>
            <w:tcW w:w="3668" w:type="dxa"/>
          </w:tcPr>
          <w:p w14:paraId="22E282C6" w14:textId="77777777" w:rsidR="00EE7FA3" w:rsidRPr="00DC2F6D" w:rsidRDefault="00EE7FA3" w:rsidP="00EE7FA3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DC2F6D">
              <w:rPr>
                <w:b/>
                <w:spacing w:val="-2"/>
              </w:rPr>
              <w:t>Djelatnost</w:t>
            </w:r>
          </w:p>
        </w:tc>
        <w:tc>
          <w:tcPr>
            <w:tcW w:w="2573" w:type="dxa"/>
          </w:tcPr>
          <w:p w14:paraId="66BF9DE6" w14:textId="77777777" w:rsidR="00EE7FA3" w:rsidRPr="00DC2F6D" w:rsidRDefault="00EE7FA3" w:rsidP="00EE7FA3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DC2F6D">
              <w:rPr>
                <w:b/>
              </w:rPr>
              <w:t>Iznos</w:t>
            </w:r>
            <w:r w:rsidRPr="00DC2F6D">
              <w:rPr>
                <w:b/>
                <w:spacing w:val="-2"/>
              </w:rPr>
              <w:t xml:space="preserve"> poreza</w:t>
            </w:r>
          </w:p>
        </w:tc>
      </w:tr>
      <w:tr w:rsidR="00EE7FA3" w:rsidRPr="00DC2F6D" w14:paraId="560D08AC" w14:textId="77777777" w:rsidTr="00EE7FA3">
        <w:trPr>
          <w:trHeight w:val="806"/>
        </w:trPr>
        <w:tc>
          <w:tcPr>
            <w:tcW w:w="914" w:type="dxa"/>
          </w:tcPr>
          <w:p w14:paraId="4B9E98F8" w14:textId="77777777" w:rsidR="00EE7FA3" w:rsidRPr="00DC2F6D" w:rsidRDefault="00EE7FA3" w:rsidP="00EE7FA3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5"/>
              </w:rPr>
              <w:t>1</w:t>
            </w:r>
            <w:r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1E5F46CD" w14:textId="77777777" w:rsidR="00EE7FA3" w:rsidRPr="00DC2F6D" w:rsidRDefault="00EE7FA3" w:rsidP="00EE7FA3">
            <w:pPr>
              <w:pStyle w:val="TableParagraph"/>
              <w:spacing w:before="1"/>
              <w:jc w:val="center"/>
            </w:pPr>
            <w:r w:rsidRPr="00DC2F6D">
              <w:t>Prodaja</w:t>
            </w:r>
            <w:r w:rsidRPr="00DC2F6D">
              <w:rPr>
                <w:spacing w:val="-13"/>
              </w:rPr>
              <w:t xml:space="preserve"> </w:t>
            </w:r>
            <w:r w:rsidRPr="00DC2F6D">
              <w:t>poljoprivrednih</w:t>
            </w:r>
            <w:r w:rsidRPr="00DC2F6D">
              <w:rPr>
                <w:spacing w:val="-13"/>
              </w:rPr>
              <w:t xml:space="preserve"> </w:t>
            </w:r>
            <w:r w:rsidRPr="00DC2F6D">
              <w:t>proizvoda</w:t>
            </w:r>
            <w:r w:rsidRPr="00DC2F6D">
              <w:rPr>
                <w:spacing w:val="-13"/>
              </w:rPr>
              <w:t xml:space="preserve"> </w:t>
            </w:r>
            <w:r w:rsidRPr="00DC2F6D">
              <w:t>i proizvoda od drva i željeza</w:t>
            </w:r>
          </w:p>
        </w:tc>
        <w:tc>
          <w:tcPr>
            <w:tcW w:w="2573" w:type="dxa"/>
          </w:tcPr>
          <w:p w14:paraId="482BDEBE" w14:textId="77777777" w:rsidR="00EE7FA3" w:rsidRPr="00DC2F6D" w:rsidRDefault="00EE7FA3" w:rsidP="00EE7FA3">
            <w:pPr>
              <w:pStyle w:val="TableParagraph"/>
              <w:spacing w:before="1"/>
              <w:jc w:val="center"/>
            </w:pPr>
            <w:r w:rsidRPr="00DC2F6D">
              <w:t>35</w:t>
            </w:r>
            <w:r>
              <w:t>,00</w:t>
            </w:r>
            <w:r w:rsidRPr="00DC2F6D">
              <w:rPr>
                <w:spacing w:val="-3"/>
              </w:rPr>
              <w:t xml:space="preserve"> </w:t>
            </w:r>
            <w:r w:rsidRPr="00DC2F6D">
              <w:t>eura</w:t>
            </w:r>
            <w:r w:rsidRPr="00DC2F6D">
              <w:rPr>
                <w:spacing w:val="-1"/>
              </w:rPr>
              <w:t xml:space="preserve"> </w:t>
            </w:r>
            <w:r w:rsidRPr="00DC2F6D">
              <w:t xml:space="preserve">po </w:t>
            </w:r>
            <w:r>
              <w:t>štandu po danu</w:t>
            </w:r>
          </w:p>
        </w:tc>
      </w:tr>
      <w:tr w:rsidR="00EE7FA3" w:rsidRPr="00DC2F6D" w14:paraId="51BDE8FB" w14:textId="77777777" w:rsidTr="00EE7FA3">
        <w:trPr>
          <w:trHeight w:val="724"/>
        </w:trPr>
        <w:tc>
          <w:tcPr>
            <w:tcW w:w="914" w:type="dxa"/>
          </w:tcPr>
          <w:p w14:paraId="4D128CAB" w14:textId="77777777" w:rsidR="00EE7FA3" w:rsidRPr="00DC2F6D" w:rsidRDefault="00EE7FA3" w:rsidP="00EE7FA3">
            <w:pPr>
              <w:pStyle w:val="TableParagraph"/>
              <w:spacing w:line="251" w:lineRule="exact"/>
              <w:ind w:left="107"/>
              <w:jc w:val="center"/>
            </w:pPr>
            <w:r>
              <w:rPr>
                <w:spacing w:val="-5"/>
              </w:rPr>
              <w:t>2</w:t>
            </w:r>
            <w:r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5BAB6252" w14:textId="77777777" w:rsidR="00EE7FA3" w:rsidRPr="004C5A07" w:rsidRDefault="00EE7FA3" w:rsidP="00EE7FA3">
            <w:pPr>
              <w:pStyle w:val="TableParagraph"/>
              <w:spacing w:line="251" w:lineRule="exact"/>
              <w:jc w:val="center"/>
            </w:pPr>
            <w:r w:rsidRPr="004C5A07">
              <w:t>Prodaja</w:t>
            </w:r>
            <w:r w:rsidRPr="004C5A07">
              <w:rPr>
                <w:spacing w:val="-4"/>
              </w:rPr>
              <w:t xml:space="preserve"> </w:t>
            </w:r>
            <w:r w:rsidRPr="004C5A07">
              <w:t>ostalih</w:t>
            </w:r>
            <w:r w:rsidRPr="004C5A07">
              <w:rPr>
                <w:spacing w:val="-4"/>
              </w:rPr>
              <w:t xml:space="preserve"> </w:t>
            </w:r>
            <w:r w:rsidRPr="004C5A07">
              <w:rPr>
                <w:spacing w:val="-2"/>
              </w:rPr>
              <w:t>proizvoda</w:t>
            </w:r>
          </w:p>
        </w:tc>
        <w:tc>
          <w:tcPr>
            <w:tcW w:w="2573" w:type="dxa"/>
          </w:tcPr>
          <w:p w14:paraId="58E7DAB3" w14:textId="77777777" w:rsidR="00EE7FA3" w:rsidRPr="00DC2F6D" w:rsidRDefault="00EE7FA3" w:rsidP="00EE7FA3">
            <w:pPr>
              <w:pStyle w:val="TableParagraph"/>
              <w:spacing w:line="251" w:lineRule="exact"/>
              <w:jc w:val="center"/>
            </w:pPr>
            <w:r>
              <w:t>45,00</w:t>
            </w:r>
            <w:r w:rsidRPr="00DC2F6D">
              <w:rPr>
                <w:spacing w:val="-3"/>
              </w:rPr>
              <w:t xml:space="preserve"> </w:t>
            </w:r>
            <w:r w:rsidRPr="00DC2F6D">
              <w:t>eura</w:t>
            </w:r>
            <w:r w:rsidRPr="00DC2F6D">
              <w:rPr>
                <w:spacing w:val="-1"/>
              </w:rPr>
              <w:t xml:space="preserve"> </w:t>
            </w:r>
            <w:r w:rsidRPr="00DC2F6D">
              <w:t xml:space="preserve">po </w:t>
            </w:r>
            <w:r>
              <w:t>štandu po danu</w:t>
            </w:r>
          </w:p>
        </w:tc>
      </w:tr>
      <w:tr w:rsidR="00EE7FA3" w:rsidRPr="00DC2F6D" w14:paraId="5A9426D4" w14:textId="77777777" w:rsidTr="00EE7FA3">
        <w:trPr>
          <w:trHeight w:val="724"/>
        </w:trPr>
        <w:tc>
          <w:tcPr>
            <w:tcW w:w="914" w:type="dxa"/>
          </w:tcPr>
          <w:p w14:paraId="7D9FCADC" w14:textId="77777777" w:rsidR="00EE7FA3" w:rsidRDefault="00EE7FA3" w:rsidP="00EE7FA3">
            <w:pPr>
              <w:pStyle w:val="TableParagraph"/>
              <w:spacing w:line="251" w:lineRule="exact"/>
              <w:ind w:left="107"/>
              <w:jc w:val="center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3668" w:type="dxa"/>
          </w:tcPr>
          <w:p w14:paraId="7636466A" w14:textId="77777777" w:rsidR="00EE7FA3" w:rsidRPr="004C5A07" w:rsidRDefault="00EE7FA3" w:rsidP="00EE7FA3">
            <w:pPr>
              <w:pStyle w:val="TableParagraph"/>
              <w:spacing w:line="251" w:lineRule="exact"/>
              <w:jc w:val="center"/>
            </w:pPr>
            <w:r>
              <w:t>Pečenje i prodaja plodina (kokice, kesteni, kukuruz), šećerna vuna, sladoled, bomboni i slično</w:t>
            </w:r>
          </w:p>
        </w:tc>
        <w:tc>
          <w:tcPr>
            <w:tcW w:w="2573" w:type="dxa"/>
          </w:tcPr>
          <w:p w14:paraId="1B385150" w14:textId="77777777" w:rsidR="00EE7FA3" w:rsidRDefault="00EE7FA3" w:rsidP="00EE7FA3">
            <w:pPr>
              <w:pStyle w:val="TableParagraph"/>
              <w:spacing w:line="251" w:lineRule="exact"/>
              <w:jc w:val="center"/>
            </w:pPr>
            <w:r>
              <w:t>30,00 eura /m2po danu</w:t>
            </w:r>
          </w:p>
        </w:tc>
      </w:tr>
      <w:tr w:rsidR="00EE7FA3" w:rsidRPr="00DC2F6D" w14:paraId="33B4316B" w14:textId="77777777" w:rsidTr="00EE7FA3">
        <w:trPr>
          <w:trHeight w:val="724"/>
        </w:trPr>
        <w:tc>
          <w:tcPr>
            <w:tcW w:w="914" w:type="dxa"/>
          </w:tcPr>
          <w:p w14:paraId="00A278C6" w14:textId="77777777" w:rsidR="00EE7FA3" w:rsidRPr="00DC2F6D" w:rsidRDefault="00EE7FA3" w:rsidP="00EE7FA3">
            <w:pPr>
              <w:pStyle w:val="TableParagraph"/>
              <w:spacing w:line="251" w:lineRule="exact"/>
              <w:ind w:left="107"/>
              <w:jc w:val="center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3668" w:type="dxa"/>
          </w:tcPr>
          <w:p w14:paraId="73FFEAAA" w14:textId="21BD1F4C" w:rsidR="00EE7FA3" w:rsidRDefault="00EE7FA3" w:rsidP="00EE7FA3">
            <w:pPr>
              <w:pStyle w:val="Tijelotekst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romotivn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prodaja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promocij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3BDA7871" w14:textId="47F928DE" w:rsidR="00EE7FA3" w:rsidRDefault="00EE7FA3" w:rsidP="00EE7FA3">
            <w:pPr>
              <w:pStyle w:val="Tijelotekst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proizvoda i usluga (izložbeni prostori</w:t>
            </w:r>
          </w:p>
          <w:p w14:paraId="474B4FA8" w14:textId="1F23EA9A" w:rsidR="00EE7FA3" w:rsidRDefault="00EE7FA3" w:rsidP="00EE7FA3">
            <w:pPr>
              <w:pStyle w:val="Tijelotekst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auto kuća,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poljoprivrednih i radnih</w:t>
            </w:r>
          </w:p>
          <w:p w14:paraId="2F3BBA3F" w14:textId="3FEBEB24" w:rsidR="00EE7FA3" w:rsidRPr="004C5A07" w:rsidRDefault="00EE7FA3" w:rsidP="00EE7FA3">
            <w:pPr>
              <w:pStyle w:val="Tijelotekst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strojeva, montažnih objekata i sl)</w:t>
            </w:r>
          </w:p>
        </w:tc>
        <w:tc>
          <w:tcPr>
            <w:tcW w:w="2573" w:type="dxa"/>
          </w:tcPr>
          <w:p w14:paraId="2164D10A" w14:textId="77777777" w:rsidR="00EE7FA3" w:rsidRDefault="00EE7FA3" w:rsidP="00EE7FA3">
            <w:pPr>
              <w:pStyle w:val="TableParagraph"/>
              <w:spacing w:line="251" w:lineRule="exact"/>
              <w:jc w:val="center"/>
            </w:pPr>
            <w:r>
              <w:t>2,50 eura/m2 po danu</w:t>
            </w:r>
          </w:p>
        </w:tc>
      </w:tr>
      <w:tr w:rsidR="00EE7FA3" w:rsidRPr="00DC2F6D" w14:paraId="7BF01FDE" w14:textId="77777777" w:rsidTr="00EE7FA3">
        <w:trPr>
          <w:trHeight w:val="724"/>
        </w:trPr>
        <w:tc>
          <w:tcPr>
            <w:tcW w:w="914" w:type="dxa"/>
          </w:tcPr>
          <w:p w14:paraId="22D8A5F9" w14:textId="77777777" w:rsidR="00EE7FA3" w:rsidRDefault="00EE7FA3" w:rsidP="00EE7FA3">
            <w:pPr>
              <w:pStyle w:val="TableParagraph"/>
              <w:spacing w:line="251" w:lineRule="exact"/>
              <w:ind w:left="107"/>
              <w:jc w:val="center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3668" w:type="dxa"/>
          </w:tcPr>
          <w:p w14:paraId="6C63FB99" w14:textId="77777777" w:rsidR="00EE7FA3" w:rsidRDefault="00EE7FA3" w:rsidP="00EE7FA3">
            <w:pPr>
              <w:pStyle w:val="Tijelotekst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Zabavni park</w:t>
            </w:r>
          </w:p>
        </w:tc>
        <w:tc>
          <w:tcPr>
            <w:tcW w:w="2573" w:type="dxa"/>
          </w:tcPr>
          <w:p w14:paraId="52B81AFC" w14:textId="77777777" w:rsidR="00EE7FA3" w:rsidRDefault="00EE7FA3" w:rsidP="00EE7FA3">
            <w:pPr>
              <w:pStyle w:val="TableParagraph"/>
              <w:spacing w:line="251" w:lineRule="exact"/>
              <w:jc w:val="center"/>
            </w:pPr>
            <w:r>
              <w:t>2,50 eura/m2 po danu</w:t>
            </w:r>
          </w:p>
        </w:tc>
      </w:tr>
      <w:tr w:rsidR="00EE7FA3" w:rsidRPr="00DC2F6D" w14:paraId="5A279C7B" w14:textId="77777777" w:rsidTr="00EE7FA3">
        <w:trPr>
          <w:trHeight w:val="724"/>
        </w:trPr>
        <w:tc>
          <w:tcPr>
            <w:tcW w:w="914" w:type="dxa"/>
          </w:tcPr>
          <w:p w14:paraId="46037E2F" w14:textId="77777777" w:rsidR="00EE7FA3" w:rsidRDefault="00EE7FA3" w:rsidP="00EE7FA3">
            <w:pPr>
              <w:pStyle w:val="TableParagraph"/>
              <w:spacing w:line="251" w:lineRule="exact"/>
              <w:ind w:left="107"/>
              <w:jc w:val="center"/>
              <w:rPr>
                <w:spacing w:val="-5"/>
              </w:rPr>
            </w:pPr>
            <w:r>
              <w:rPr>
                <w:spacing w:val="-5"/>
              </w:rPr>
              <w:t>6.</w:t>
            </w:r>
          </w:p>
        </w:tc>
        <w:tc>
          <w:tcPr>
            <w:tcW w:w="3668" w:type="dxa"/>
          </w:tcPr>
          <w:p w14:paraId="0F0CB8B4" w14:textId="77777777" w:rsidR="00EE7FA3" w:rsidRDefault="00EE7FA3" w:rsidP="00EE7FA3">
            <w:pPr>
              <w:pStyle w:val="Tijelotekst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Pečenje i prodaja fritula i palačinki, usluživanje hrane</w:t>
            </w:r>
          </w:p>
        </w:tc>
        <w:tc>
          <w:tcPr>
            <w:tcW w:w="2573" w:type="dxa"/>
          </w:tcPr>
          <w:p w14:paraId="76168CE1" w14:textId="77777777" w:rsidR="00EE7FA3" w:rsidRDefault="00EE7FA3" w:rsidP="00EE7FA3">
            <w:pPr>
              <w:pStyle w:val="TableParagraph"/>
              <w:spacing w:line="251" w:lineRule="exact"/>
              <w:jc w:val="center"/>
            </w:pPr>
            <w:r>
              <w:t>60,00 eura/ m2 po danu</w:t>
            </w:r>
          </w:p>
        </w:tc>
      </w:tr>
    </w:tbl>
    <w:p w14:paraId="4E629C19" w14:textId="77777777" w:rsidR="00EE7FA3" w:rsidRDefault="00EE7FA3" w:rsidP="00EE7FA3"/>
    <w:p w14:paraId="2642A22C" w14:textId="77777777" w:rsidR="00EE7FA3" w:rsidRDefault="00EE7FA3" w:rsidP="00A258B6">
      <w:pPr>
        <w:jc w:val="right"/>
      </w:pPr>
    </w:p>
    <w:p w14:paraId="325FC026" w14:textId="77777777" w:rsidR="00EE7FA3" w:rsidRDefault="00EE7FA3" w:rsidP="00A258B6">
      <w:pPr>
        <w:jc w:val="right"/>
      </w:pPr>
    </w:p>
    <w:p w14:paraId="2D21A541" w14:textId="77777777" w:rsidR="00EE7FA3" w:rsidRDefault="00EE7FA3" w:rsidP="00A258B6">
      <w:pPr>
        <w:jc w:val="right"/>
      </w:pPr>
    </w:p>
    <w:p w14:paraId="2EA5140E" w14:textId="77777777" w:rsidR="00EE7FA3" w:rsidRDefault="00EE7FA3" w:rsidP="00A258B6">
      <w:pPr>
        <w:jc w:val="right"/>
      </w:pPr>
    </w:p>
    <w:p w14:paraId="105011C7" w14:textId="77777777" w:rsidR="00EE7FA3" w:rsidRDefault="00EE7FA3" w:rsidP="00A258B6">
      <w:pPr>
        <w:jc w:val="right"/>
      </w:pPr>
    </w:p>
    <w:p w14:paraId="6340C72F" w14:textId="77777777" w:rsidR="00EE7FA3" w:rsidRDefault="00EE7FA3" w:rsidP="00A258B6">
      <w:pPr>
        <w:jc w:val="right"/>
      </w:pPr>
    </w:p>
    <w:p w14:paraId="2461381F" w14:textId="77777777" w:rsidR="00EE7FA3" w:rsidRDefault="00EE7FA3" w:rsidP="00A258B6">
      <w:pPr>
        <w:jc w:val="right"/>
      </w:pPr>
    </w:p>
    <w:p w14:paraId="271E1BB0" w14:textId="77777777" w:rsidR="00EE7FA3" w:rsidRDefault="00EE7FA3" w:rsidP="00A258B6">
      <w:pPr>
        <w:jc w:val="right"/>
      </w:pPr>
    </w:p>
    <w:p w14:paraId="462B9710" w14:textId="40B2D18E" w:rsidR="00A258B6" w:rsidRDefault="00A258B6" w:rsidP="00A258B6">
      <w:pPr>
        <w:jc w:val="right"/>
      </w:pPr>
      <w:r>
        <w:t>Općinski načelnik</w:t>
      </w:r>
    </w:p>
    <w:p w14:paraId="679BE325" w14:textId="264D1968" w:rsidR="00A258B6" w:rsidRDefault="00A258B6" w:rsidP="00A258B6">
      <w:pPr>
        <w:jc w:val="right"/>
      </w:pPr>
      <w:r>
        <w:t>Goran Hrvain</w:t>
      </w:r>
    </w:p>
    <w:sectPr w:rsidR="00A2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14"/>
    <w:rsid w:val="004D7CEE"/>
    <w:rsid w:val="00507BDF"/>
    <w:rsid w:val="006652CB"/>
    <w:rsid w:val="009C5507"/>
    <w:rsid w:val="009F1DBA"/>
    <w:rsid w:val="00A258B6"/>
    <w:rsid w:val="00A51517"/>
    <w:rsid w:val="00AC681A"/>
    <w:rsid w:val="00AE3C14"/>
    <w:rsid w:val="00E873BD"/>
    <w:rsid w:val="00E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96B6"/>
  <w15:chartTrackingRefBased/>
  <w15:docId w15:val="{07E23FBE-6795-43EE-9EA0-75E2E6D0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3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3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3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3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3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3C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3C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3C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3C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3C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3C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3C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3C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3C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3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3C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3C14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EE7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EE7FA3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7FA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Tinjan</dc:creator>
  <cp:keywords/>
  <dc:description/>
  <cp:lastModifiedBy>Općina Tinjan</cp:lastModifiedBy>
  <cp:revision>2</cp:revision>
  <cp:lastPrinted>2026-06-03T07:21:00Z</cp:lastPrinted>
  <dcterms:created xsi:type="dcterms:W3CDTF">2026-06-03T07:00:00Z</dcterms:created>
  <dcterms:modified xsi:type="dcterms:W3CDTF">2026-06-03T11:02:00Z</dcterms:modified>
</cp:coreProperties>
</file>